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65ED">
      <w:pPr>
        <w:ind w:right="282"/>
        <w:jc w:val="right"/>
        <w:rPr>
          <w:sz w:val="28"/>
        </w:rPr>
      </w:pPr>
      <w:r>
        <w:rPr>
          <w:sz w:val="28"/>
        </w:rPr>
        <w:t>Дело № 5-529</w:t>
      </w:r>
      <w:r w:rsidR="002A1DC3">
        <w:rPr>
          <w:sz w:val="28"/>
        </w:rPr>
        <w:t>-2201/202</w:t>
      </w:r>
      <w:r>
        <w:rPr>
          <w:sz w:val="28"/>
        </w:rPr>
        <w:t>4</w:t>
      </w:r>
    </w:p>
    <w:p w:rsidR="001465ED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6F798E" w:rsidR="006F798E">
        <w:rPr>
          <w:sz w:val="28"/>
        </w:rPr>
        <w:t>86MS0022-01-2024-002231-89</w:t>
      </w:r>
    </w:p>
    <w:p w:rsidR="00B34821" w:rsidRPr="000547DF" w:rsidP="00B34821">
      <w:pPr>
        <w:jc w:val="right"/>
        <w:rPr>
          <w:sz w:val="28"/>
          <w:szCs w:val="28"/>
        </w:rPr>
      </w:pPr>
    </w:p>
    <w:p w:rsidR="00B34821" w:rsidRPr="005953E7" w:rsidP="00B34821">
      <w:pPr>
        <w:jc w:val="center"/>
        <w:rPr>
          <w:sz w:val="28"/>
          <w:szCs w:val="28"/>
        </w:rPr>
      </w:pPr>
      <w:r w:rsidRPr="005953E7">
        <w:rPr>
          <w:sz w:val="28"/>
          <w:szCs w:val="28"/>
        </w:rPr>
        <w:t>ПОСТАНОВЛЕНИЕ</w:t>
      </w:r>
    </w:p>
    <w:p w:rsidR="00B34821" w:rsidRPr="005953E7" w:rsidP="00B34821">
      <w:pPr>
        <w:jc w:val="center"/>
        <w:rPr>
          <w:rFonts w:eastAsia="Calibri"/>
          <w:sz w:val="28"/>
          <w:szCs w:val="28"/>
          <w:lang w:eastAsia="en-US"/>
        </w:rPr>
      </w:pPr>
      <w:r w:rsidRPr="005953E7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B34821" w:rsidRPr="000547DF" w:rsidP="00B34821">
      <w:pPr>
        <w:ind w:firstLine="709"/>
        <w:jc w:val="center"/>
        <w:rPr>
          <w:sz w:val="28"/>
          <w:szCs w:val="28"/>
        </w:rPr>
      </w:pPr>
    </w:p>
    <w:p w:rsidR="00B34821" w:rsidP="00B34821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 мая 2024</w:t>
      </w:r>
      <w:r w:rsidRPr="00893700">
        <w:rPr>
          <w:color w:val="000000" w:themeColor="text1"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Pr="000547DF">
        <w:rPr>
          <w:sz w:val="28"/>
          <w:szCs w:val="28"/>
        </w:rPr>
        <w:t>г.</w:t>
      </w:r>
      <w:r>
        <w:rPr>
          <w:sz w:val="28"/>
          <w:szCs w:val="28"/>
        </w:rPr>
        <w:t xml:space="preserve"> Нягань</w:t>
      </w:r>
    </w:p>
    <w:p w:rsidR="006F798E" w:rsidP="006F798E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1465ED" w:rsidP="006F798E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№2 Няганского</w:t>
      </w:r>
      <w:r>
        <w:rPr>
          <w:sz w:val="28"/>
        </w:rPr>
        <w:t xml:space="preserve">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</w:t>
      </w:r>
      <w:r w:rsidR="002A1DC3">
        <w:rPr>
          <w:sz w:val="28"/>
        </w:rPr>
        <w:t>,</w:t>
      </w:r>
    </w:p>
    <w:p w:rsidR="00F37EE8">
      <w:pPr>
        <w:ind w:firstLine="708"/>
        <w:jc w:val="both"/>
        <w:rPr>
          <w:sz w:val="28"/>
          <w:szCs w:val="28"/>
        </w:rPr>
      </w:pPr>
      <w:r>
        <w:rPr>
          <w:sz w:val="28"/>
        </w:rPr>
        <w:t>рассмотрев дело об административном правонаруше</w:t>
      </w:r>
      <w:r>
        <w:rPr>
          <w:sz w:val="28"/>
        </w:rPr>
        <w:t xml:space="preserve">нии в отношении  </w:t>
      </w:r>
      <w:r>
        <w:rPr>
          <w:sz w:val="28"/>
          <w:szCs w:val="28"/>
        </w:rPr>
        <w:t>Скрябина Василия Алексеевича</w:t>
      </w:r>
      <w:r w:rsidRPr="00A01E43">
        <w:rPr>
          <w:sz w:val="28"/>
          <w:szCs w:val="28"/>
        </w:rPr>
        <w:t xml:space="preserve">, </w:t>
      </w:r>
      <w:r w:rsidR="00363200">
        <w:rPr>
          <w:sz w:val="28"/>
          <w:szCs w:val="28"/>
        </w:rPr>
        <w:t>*</w:t>
      </w:r>
      <w:r w:rsidRPr="00A01E43"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</w:rPr>
        <w:t>ца</w:t>
      </w:r>
      <w:r w:rsidRPr="00A01E4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63200">
        <w:rPr>
          <w:sz w:val="28"/>
          <w:szCs w:val="28"/>
        </w:rPr>
        <w:t>*</w:t>
      </w:r>
      <w:r w:rsidRPr="00A01E4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A01E43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A01E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паспорт </w:t>
      </w:r>
      <w:r w:rsidR="0036320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A01E43">
        <w:rPr>
          <w:sz w:val="28"/>
          <w:szCs w:val="28"/>
        </w:rPr>
        <w:t>работающе</w:t>
      </w:r>
      <w:r>
        <w:rPr>
          <w:sz w:val="28"/>
          <w:szCs w:val="28"/>
        </w:rPr>
        <w:t>го</w:t>
      </w:r>
      <w:r w:rsidRPr="00A01E43">
        <w:rPr>
          <w:sz w:val="28"/>
          <w:szCs w:val="28"/>
        </w:rPr>
        <w:t xml:space="preserve"> </w:t>
      </w:r>
      <w:r>
        <w:rPr>
          <w:sz w:val="28"/>
          <w:szCs w:val="28"/>
        </w:rPr>
        <w:t>дир</w:t>
      </w:r>
      <w:r>
        <w:rPr>
          <w:sz w:val="28"/>
          <w:szCs w:val="28"/>
        </w:rPr>
        <w:t>ектором</w:t>
      </w:r>
      <w:r w:rsidRPr="00A01E4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</w:t>
      </w:r>
      <w:r w:rsidRPr="00A01E43">
        <w:rPr>
          <w:sz w:val="28"/>
          <w:szCs w:val="28"/>
        </w:rPr>
        <w:t xml:space="preserve"> «</w:t>
      </w:r>
      <w:r>
        <w:rPr>
          <w:sz w:val="28"/>
          <w:szCs w:val="28"/>
        </w:rPr>
        <w:t>РЕАЛ»</w:t>
      </w:r>
      <w:r w:rsidRPr="00A01E43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проживающего</w:t>
      </w:r>
      <w:r w:rsidRPr="00A01E4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ХМАО-Югра, </w:t>
      </w:r>
      <w:r w:rsidR="00363200">
        <w:rPr>
          <w:sz w:val="28"/>
          <w:szCs w:val="28"/>
        </w:rPr>
        <w:t>*</w:t>
      </w:r>
    </w:p>
    <w:p w:rsidR="001465ED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статьей 15.5 Кодекса Российской Федерации об </w:t>
      </w:r>
      <w:r>
        <w:rPr>
          <w:sz w:val="28"/>
        </w:rPr>
        <w:t>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465ED">
      <w:pPr>
        <w:ind w:right="282" w:firstLine="540"/>
        <w:jc w:val="both"/>
        <w:rPr>
          <w:sz w:val="28"/>
        </w:rPr>
      </w:pPr>
    </w:p>
    <w:p w:rsidR="001465ED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1465ED">
      <w:pPr>
        <w:ind w:right="282"/>
        <w:jc w:val="center"/>
        <w:rPr>
          <w:sz w:val="28"/>
        </w:rPr>
      </w:pPr>
    </w:p>
    <w:p w:rsidR="001465ED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6F798E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F37EE8">
        <w:rPr>
          <w:spacing w:val="-2"/>
          <w:sz w:val="28"/>
        </w:rPr>
        <w:t>Скрябин В.А</w:t>
      </w:r>
      <w:r>
        <w:rPr>
          <w:spacing w:val="-2"/>
          <w:sz w:val="28"/>
        </w:rPr>
        <w:t xml:space="preserve">., являясь должностным лицом –  </w:t>
      </w:r>
      <w:r>
        <w:rPr>
          <w:sz w:val="28"/>
        </w:rPr>
        <w:t>директо</w:t>
      </w:r>
      <w:r>
        <w:rPr>
          <w:sz w:val="28"/>
        </w:rPr>
        <w:t xml:space="preserve">ром </w:t>
      </w:r>
      <w:r w:rsidRPr="00F37EE8" w:rsidR="00F37EE8">
        <w:rPr>
          <w:sz w:val="28"/>
        </w:rPr>
        <w:t>ООО «РЕАЛ», зарегистрированного по адресу: ХМАО-Югра, г.Нягань, 4 мкр-он, дом 15</w:t>
      </w:r>
      <w:r>
        <w:rPr>
          <w:sz w:val="28"/>
        </w:rPr>
        <w:t>, и являясь должностным лицом, ответственным за предоставление в налоговый орган по месту учета отчетности, не представил в Межрайонную ИФНС России № 2 по Ханты-Мансийскому</w:t>
      </w:r>
      <w:r>
        <w:rPr>
          <w:sz w:val="28"/>
        </w:rPr>
        <w:t xml:space="preserve"> автономному округу – Югре, налоговую декларацию по НДС 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 года. </w:t>
      </w:r>
    </w:p>
    <w:p w:rsidR="00F37EE8" w:rsidP="00F37EE8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Скрябин В.А</w:t>
      </w:r>
      <w:r w:rsidRPr="0010407C">
        <w:rPr>
          <w:sz w:val="28"/>
          <w:szCs w:val="28"/>
        </w:rPr>
        <w:t>.,</w:t>
      </w:r>
      <w:r>
        <w:rPr>
          <w:sz w:val="28"/>
          <w:szCs w:val="28"/>
        </w:rPr>
        <w:t xml:space="preserve">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F37EE8" w:rsidRPr="001D7A24" w:rsidP="00F37EE8">
      <w:pPr>
        <w:pStyle w:val="BodyTextIndent"/>
        <w:ind w:firstLine="708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</w:t>
      </w:r>
      <w:r w:rsidRPr="00AA11BB">
        <w:rPr>
          <w:sz w:val="28"/>
          <w:szCs w:val="28"/>
        </w:rPr>
        <w:t>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</w:t>
      </w:r>
      <w:r w:rsidRPr="00AA11BB">
        <w:rPr>
          <w:sz w:val="28"/>
          <w:szCs w:val="28"/>
        </w:rPr>
        <w:t xml:space="preserve">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>о в отсутстви</w:t>
      </w:r>
      <w:r w:rsidR="00B34821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должностного лица Скрябина В.А</w:t>
      </w:r>
      <w:r w:rsidRPr="001D7A24">
        <w:rPr>
          <w:sz w:val="28"/>
          <w:szCs w:val="28"/>
        </w:rPr>
        <w:t>.</w:t>
      </w:r>
    </w:p>
    <w:p w:rsidR="00B90BE0" w:rsidP="00F37EE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Исследовав материалы дела, мировой судья находит вину должностного лица Скрябина В.А. </w:t>
      </w:r>
      <w:r>
        <w:rPr>
          <w:spacing w:val="-2"/>
          <w:sz w:val="28"/>
        </w:rPr>
        <w:t>в совершении администра</w:t>
      </w:r>
      <w:r>
        <w:rPr>
          <w:spacing w:val="-2"/>
          <w:sz w:val="28"/>
        </w:rPr>
        <w:t>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1465ED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</w:t>
      </w:r>
      <w:r>
        <w:rPr>
          <w:sz w:val="28"/>
        </w:rPr>
        <w:t>ную стоимость (в том числе для налогоплательщиков, исполняющих обязанности налоговых агентов) устанавливается как квартал.</w:t>
      </w: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В силу пункта 5 статьи 174 Налогового кодекса Российской Федерации налогоплательщики обязаны представить в налоговые органы по месту </w:t>
      </w:r>
      <w:r>
        <w:rPr>
          <w:sz w:val="28"/>
        </w:rPr>
        <w:t>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</w:t>
      </w:r>
      <w:r>
        <w:rPr>
          <w:sz w:val="28"/>
        </w:rPr>
        <w:t>дом.</w:t>
      </w:r>
    </w:p>
    <w:p w:rsidR="001465ED">
      <w:pPr>
        <w:pStyle w:val="BodyTextIndent2"/>
        <w:ind w:right="-2" w:firstLine="708"/>
        <w:rPr>
          <w:sz w:val="28"/>
        </w:rPr>
      </w:pPr>
      <w:r>
        <w:rPr>
          <w:sz w:val="28"/>
        </w:rPr>
        <w:t xml:space="preserve"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</w:t>
      </w:r>
      <w:r>
        <w:rPr>
          <w:sz w:val="28"/>
        </w:rPr>
        <w:t>днем окончания срока считается ближайший следующий за ним рабочий день.</w:t>
      </w:r>
    </w:p>
    <w:p w:rsidR="001465ED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</w:t>
      </w:r>
      <w:r>
        <w:rPr>
          <w:sz w:val="28"/>
        </w:rPr>
        <w:t>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1465ED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 года должна быть предоставлена со стороны ответственного дол</w:t>
      </w:r>
      <w:r>
        <w:rPr>
          <w:sz w:val="28"/>
        </w:rPr>
        <w:t>жностного лица ООО «</w:t>
      </w:r>
      <w:r w:rsidRPr="00F37EE8" w:rsidR="00F37EE8">
        <w:rPr>
          <w:sz w:val="28"/>
        </w:rPr>
        <w:t>РЕАЛ</w:t>
      </w:r>
      <w:r>
        <w:rPr>
          <w:sz w:val="28"/>
        </w:rPr>
        <w:t xml:space="preserve">»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6F798E">
        <w:rPr>
          <w:color w:val="FF0000"/>
          <w:sz w:val="28"/>
        </w:rPr>
        <w:t>октября</w:t>
      </w:r>
      <w:r>
        <w:rPr>
          <w:sz w:val="28"/>
        </w:rPr>
        <w:t xml:space="preserve"> 2023 года. В нарушение этого, налогоплательщик не представил налоговую декларацию по НДС 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 года в установленный срок. </w:t>
      </w:r>
    </w:p>
    <w:p w:rsidR="00B34821" w:rsidP="00B34821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</w:t>
      </w:r>
      <w:r>
        <w:rPr>
          <w:sz w:val="28"/>
        </w:rPr>
        <w:t>го государственного реестра юридических лиц, директором ООО «</w:t>
      </w:r>
      <w:r w:rsidRPr="00F37EE8" w:rsidR="00F37EE8">
        <w:rPr>
          <w:sz w:val="28"/>
        </w:rPr>
        <w:t>РЕАЛ</w:t>
      </w:r>
      <w:r>
        <w:rPr>
          <w:sz w:val="28"/>
        </w:rPr>
        <w:t xml:space="preserve">» является </w:t>
      </w:r>
      <w:r w:rsidR="00F37EE8">
        <w:rPr>
          <w:sz w:val="28"/>
        </w:rPr>
        <w:t>Скрябин В.А</w:t>
      </w:r>
      <w:r>
        <w:rPr>
          <w:sz w:val="28"/>
        </w:rPr>
        <w:t>., то есть лицом, имеющим право без доверенности действовать от имени юридического лица.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F37EE8">
        <w:rPr>
          <w:sz w:val="28"/>
        </w:rPr>
        <w:t>Скрябин В.А</w:t>
      </w:r>
      <w:r>
        <w:rPr>
          <w:sz w:val="28"/>
        </w:rPr>
        <w:t>., как должностное лицо, несет ответственность за сво</w:t>
      </w:r>
      <w:r>
        <w:rPr>
          <w:sz w:val="28"/>
        </w:rPr>
        <w:t xml:space="preserve">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</w:t>
      </w:r>
      <w:r>
        <w:rPr>
          <w:color w:val="FF0000"/>
          <w:sz w:val="28"/>
        </w:rPr>
        <w:t xml:space="preserve"> года</w:t>
      </w:r>
      <w:r>
        <w:rPr>
          <w:sz w:val="28"/>
        </w:rPr>
        <w:t xml:space="preserve">. </w:t>
      </w:r>
    </w:p>
    <w:p w:rsidR="001465ED" w:rsidP="00B34821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F37EE8">
        <w:rPr>
          <w:sz w:val="28"/>
        </w:rPr>
        <w:t>Скрябина В.А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</w:t>
      </w:r>
      <w:r>
        <w:rPr>
          <w:sz w:val="28"/>
        </w:rPr>
        <w:t>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465ED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6F798E">
        <w:rPr>
          <w:sz w:val="28"/>
        </w:rPr>
        <w:t>631</w:t>
      </w:r>
      <w:r>
        <w:rPr>
          <w:sz w:val="28"/>
        </w:rPr>
        <w:t xml:space="preserve">Ю от                </w:t>
      </w:r>
      <w:r w:rsidR="006F798E">
        <w:rPr>
          <w:sz w:val="28"/>
        </w:rPr>
        <w:t>21 марта 2024</w:t>
      </w:r>
      <w:r>
        <w:rPr>
          <w:sz w:val="28"/>
        </w:rPr>
        <w:t xml:space="preserve"> года, в котором и</w:t>
      </w:r>
      <w:r>
        <w:rPr>
          <w:sz w:val="28"/>
        </w:rPr>
        <w:t>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</w:t>
      </w:r>
      <w:r>
        <w:rPr>
          <w:sz w:val="28"/>
        </w:rPr>
        <w:t xml:space="preserve">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</w:t>
      </w:r>
      <w:r>
        <w:rPr>
          <w:spacing w:val="-1"/>
          <w:sz w:val="28"/>
        </w:rPr>
        <w:t xml:space="preserve">предусмотренные статьей 25.1. </w:t>
      </w:r>
      <w:r>
        <w:rPr>
          <w:sz w:val="28"/>
        </w:rPr>
        <w:t>Кодекса Российской Федерации об административных правон</w:t>
      </w:r>
      <w:r>
        <w:rPr>
          <w:sz w:val="28"/>
        </w:rPr>
        <w:t>арушениях,</w:t>
      </w:r>
      <w:r>
        <w:rPr>
          <w:spacing w:val="-1"/>
          <w:sz w:val="28"/>
        </w:rPr>
        <w:t xml:space="preserve"> </w:t>
      </w:r>
      <w:r w:rsidR="00F37EE8">
        <w:rPr>
          <w:spacing w:val="-1"/>
          <w:sz w:val="28"/>
        </w:rPr>
        <w:t>Скрябину В.А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1465ED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</w:t>
      </w:r>
      <w:r>
        <w:rPr>
          <w:sz w:val="28"/>
        </w:rPr>
        <w:t>й отчетности и расчетов по страховым взносам, из которой следует, что ООО «</w:t>
      </w:r>
      <w:r w:rsidRPr="00F37EE8" w:rsidR="00F37EE8">
        <w:rPr>
          <w:sz w:val="28"/>
        </w:rPr>
        <w:t>РЕАЛ</w:t>
      </w:r>
      <w:r>
        <w:rPr>
          <w:sz w:val="28"/>
        </w:rPr>
        <w:t xml:space="preserve">» не предоставило налоговую декларацию по НДС за </w:t>
      </w:r>
      <w:r w:rsidR="006F798E">
        <w:rPr>
          <w:sz w:val="28"/>
        </w:rPr>
        <w:t>3 квартал</w:t>
      </w:r>
      <w:r>
        <w:rPr>
          <w:sz w:val="28"/>
        </w:rPr>
        <w:t xml:space="preserve"> 2023 года.</w:t>
      </w:r>
    </w:p>
    <w:p w:rsidR="001465ED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</w:t>
      </w:r>
      <w:r>
        <w:rPr>
          <w:sz w:val="28"/>
        </w:rPr>
        <w:t xml:space="preserve">ссийской Федерации об административных правонарушениях. 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F37EE8">
        <w:rPr>
          <w:sz w:val="28"/>
        </w:rPr>
        <w:t>Скрябина В.А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 xml:space="preserve">судья квалифицирует по статье 15.5 Кодекса Российской Федерации об административных правонарушениях как нарушение установленных законодательством о </w:t>
      </w:r>
      <w:r>
        <w:rPr>
          <w:sz w:val="28"/>
        </w:rPr>
        <w:t>налогах и сборах сроков представления налоговой декларации в налоговый орган по месту учета.</w:t>
      </w:r>
    </w:p>
    <w:p w:rsidR="001465ED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F37EE8">
        <w:rPr>
          <w:sz w:val="28"/>
        </w:rPr>
        <w:t>Скрябину В.А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</w:t>
      </w:r>
      <w:r>
        <w:rPr>
          <w:sz w:val="28"/>
        </w:rPr>
        <w:t xml:space="preserve"> либо отягчающих административную ответственность, по делу не установлено.</w:t>
      </w:r>
    </w:p>
    <w:p w:rsidR="001465ED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</w:t>
      </w:r>
      <w:r>
        <w:rPr>
          <w:sz w:val="28"/>
        </w:rPr>
        <w:t>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1465ED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</w:t>
      </w:r>
      <w:r>
        <w:rPr>
          <w:sz w:val="28"/>
        </w:rPr>
        <w:t>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</w:t>
      </w:r>
      <w:r>
        <w:rPr>
          <w:sz w:val="28"/>
        </w:rPr>
        <w:t xml:space="preserve">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1465ED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465ED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1465ED">
      <w:pPr>
        <w:pStyle w:val="BodyTextIndent2"/>
        <w:ind w:right="282" w:firstLine="0"/>
        <w:jc w:val="center"/>
        <w:rPr>
          <w:sz w:val="28"/>
        </w:rPr>
      </w:pP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F37EE8">
        <w:rPr>
          <w:sz w:val="28"/>
          <w:szCs w:val="28"/>
        </w:rPr>
        <w:t>Скрябина Василия Алексеевича</w:t>
      </w:r>
      <w:r w:rsidR="00F37EE8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1465ED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</w:t>
      </w:r>
      <w:r>
        <w:rPr>
          <w:sz w:val="28"/>
        </w:rPr>
        <w:t xml:space="preserve">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</w:t>
      </w:r>
      <w:r>
        <w:rPr>
          <w:sz w:val="28"/>
        </w:rPr>
        <w:t>уд, уполномоченный рассматривать жалобу, в течение 10 суток с момента вручения или получении копии постановления.</w:t>
      </w:r>
    </w:p>
    <w:p w:rsidR="001465ED">
      <w:pPr>
        <w:ind w:firstLine="708"/>
        <w:jc w:val="both"/>
        <w:rPr>
          <w:sz w:val="28"/>
        </w:rPr>
      </w:pPr>
    </w:p>
    <w:p w:rsidR="00582B83">
      <w:pPr>
        <w:ind w:firstLine="708"/>
        <w:jc w:val="both"/>
        <w:rPr>
          <w:sz w:val="28"/>
        </w:rPr>
      </w:pPr>
    </w:p>
    <w:p w:rsidR="001465ED">
      <w:pPr>
        <w:ind w:right="282"/>
        <w:jc w:val="both"/>
        <w:rPr>
          <w:sz w:val="28"/>
        </w:rPr>
      </w:pPr>
      <w:r>
        <w:rPr>
          <w:sz w:val="28"/>
        </w:rPr>
        <w:t xml:space="preserve">        </w:t>
      </w:r>
      <w:r w:rsidR="002A1DC3">
        <w:rPr>
          <w:sz w:val="28"/>
        </w:rPr>
        <w:t xml:space="preserve">Мировой судья                                                   </w:t>
      </w:r>
      <w:r w:rsidR="002A1DC3">
        <w:rPr>
          <w:sz w:val="28"/>
        </w:rPr>
        <w:tab/>
      </w:r>
      <w:r w:rsidR="002A1DC3">
        <w:rPr>
          <w:sz w:val="28"/>
        </w:rPr>
        <w:tab/>
      </w:r>
      <w:r w:rsidR="006F798E">
        <w:rPr>
          <w:sz w:val="28"/>
        </w:rPr>
        <w:t>Е.С. Колосова</w:t>
      </w:r>
    </w:p>
    <w:sectPr w:rsidSect="00B34821">
      <w:footerReference w:type="default" r:id="rId4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65ED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363200">
      <w:rPr>
        <w:rStyle w:val="100"/>
        <w:noProof/>
      </w:rPr>
      <w:t>3</w:t>
    </w:r>
    <w:r>
      <w:rPr>
        <w:rStyle w:val="100"/>
      </w:rPr>
      <w:fldChar w:fldCharType="end"/>
    </w:r>
  </w:p>
  <w:p w:rsidR="001465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D"/>
    <w:rsid w:val="000547DF"/>
    <w:rsid w:val="0010407C"/>
    <w:rsid w:val="001465ED"/>
    <w:rsid w:val="001D7A24"/>
    <w:rsid w:val="002A1DC3"/>
    <w:rsid w:val="00363200"/>
    <w:rsid w:val="003D5744"/>
    <w:rsid w:val="005155DF"/>
    <w:rsid w:val="005703A9"/>
    <w:rsid w:val="00582B83"/>
    <w:rsid w:val="005953E7"/>
    <w:rsid w:val="006F798E"/>
    <w:rsid w:val="00893700"/>
    <w:rsid w:val="008B5BBB"/>
    <w:rsid w:val="00A01E43"/>
    <w:rsid w:val="00AA11BB"/>
    <w:rsid w:val="00B260D4"/>
    <w:rsid w:val="00B34821"/>
    <w:rsid w:val="00B90BE0"/>
    <w:rsid w:val="00B95101"/>
    <w:rsid w:val="00F37E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6AEC1D-015F-40A9-B28B-1EFCA6D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Номер страницы1"/>
    <w:basedOn w:val="103"/>
    <w:link w:val="100"/>
  </w:style>
  <w:style w:type="character" w:customStyle="1" w:styleId="100">
    <w:name w:val="Номер страницы1_0"/>
    <w:basedOn w:val="111"/>
    <w:link w:val="10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2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2"/>
    <w:rPr>
      <w:color w:val="008000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3">
    <w:name w:val="Основной шрифт абзаца1_0"/>
    <w:link w:val="111"/>
  </w:style>
  <w:style w:type="character" w:customStyle="1" w:styleId="111">
    <w:name w:val="Основной шрифт абзаца1_1"/>
    <w:link w:val="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